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1F6F5C"/>
          <w:sz w:val="20"/>
          <w:szCs w:val="20"/>
        </w:rPr>
        <w:t xml:space="preserve">PROJET PÔLES INTÉGRÉS DE CROISSANCE (PIC)</w:t>
      </w:r>
    </w:p>
    <w:p>
      <w:pPr>
        <w:spacing w:after="240"/>
        <w:jc w:val="center"/>
      </w:pPr>
      <w:r>
        <w:rPr>
          <w:i/>
          <w:iCs/>
          <w:color w:val="555555"/>
          <w:sz w:val="18"/>
          <w:szCs w:val="18"/>
        </w:rPr>
        <w:t xml:space="preserve">Programme FIEM – Facilitation des Investissements Privés et de l'Entrepreneuriat à Madagascar</w:t>
      </w:r>
    </w:p>
    <w:p>
      <w:pPr>
        <w:spacing w:after="80"/>
        <w:jc w:val="center"/>
      </w:pPr>
      <w:r>
        <w:rPr>
          <w:b/>
          <w:bCs/>
          <w:color w:val="222222"/>
          <w:sz w:val="32"/>
          <w:szCs w:val="32"/>
        </w:rPr>
        <w:t xml:space="preserve">ATELIER DE FORMATION AUX COMPÉTENCES NUMÉRIQUES</w:t>
      </w:r>
    </w:p>
    <w:p>
      <w:pPr>
        <w:spacing w:after="40"/>
        <w:jc w:val="center"/>
      </w:pPr>
      <w:r>
        <w:rPr>
          <w:b/>
          <w:bCs/>
          <w:color w:val="1F6F5C"/>
          <w:sz w:val="24"/>
          <w:szCs w:val="24"/>
        </w:rPr>
        <w:t xml:space="preserve">Farafa Festival 2026 — Farafangana</w:t>
      </w:r>
    </w:p>
    <w:p>
      <w:pPr>
        <w:spacing w:after="300"/>
        <w:jc w:val="center"/>
      </w:pPr>
      <w:r>
        <w:rPr>
          <w:i/>
          <w:iCs/>
          <w:color w:val="555555"/>
          <w:sz w:val="20"/>
          <w:szCs w:val="20"/>
        </w:rPr>
        <w:t xml:space="preserve">Note de présentation et support de l'atelier</w:t>
      </w:r>
    </w:p>
    <w:p>
      <w:pPr>
        <w:spacing w:after="40"/>
        <w:jc w:val="center"/>
      </w:pPr>
      <w:r>
        <w:rPr>
          <w:b/>
          <w:bCs/>
          <w:sz w:val="20"/>
          <w:szCs w:val="20"/>
        </w:rPr>
        <w:t xml:space="preserve">Animé par M. Samy MANANJARY</w:t>
      </w:r>
    </w:p>
    <w:p>
      <w:pPr>
        <w:spacing w:after="400"/>
        <w:jc w:val="center"/>
      </w:pPr>
      <w:r>
        <w:rPr>
          <w:color w:val="555555"/>
          <w:sz w:val="18"/>
          <w:szCs w:val="18"/>
        </w:rPr>
        <w:t xml:space="preserve">Chargé de Développement Web et Infographie — Projet PIC</w:t>
      </w:r>
    </w:p>
    <w:p>
      <w:pPr>
        <w:pStyle w:val="Heading1"/>
        <w:spacing w:after="160" w:before="320"/>
      </w:pPr>
      <w:r>
        <w:rPr>
          <w:b/>
          <w:bCs/>
          <w:color w:val="1F6F5C"/>
        </w:rPr>
        <w:t xml:space="preserve">1. Contexte</w:t>
      </w:r>
    </w:p>
    <w:p>
      <w:pPr>
        <w:spacing w:after="160"/>
      </w:pPr>
      <w:r>
        <w:t xml:space="preserve">Le Projet Pôles Intégrés de Croissance (PIC), à travers le programme FIEM, accompagne le développement de l'entrepreneuriat, des petites et moyennes entreprises et des filières porteuses dans ses régions d'intervention, notamment dans les secteurs de l'agribusiness, du tourisme et du numérique.</w:t>
      </w:r>
    </w:p>
    <w:p>
      <w:pPr>
        <w:spacing w:after="160"/>
      </w:pPr>
      <w:r>
        <w:t xml:space="preserve">Dans le cadre du Farafa Festival 2026, organisé les 1er et 2 août 2026 à Farafangana, le Projet PIC contribue au volet consacré à l'entrepreneuriat et au renforcement des compétences numériques des jeunes de la région Atsimo Atsinanana. Cette note présente le contenu de l'atelier pratique animé par M. Samy MANANJARY, prévu le 2 août 2026 dans l'après-midi.</w:t>
      </w:r>
    </w:p>
    <w:p>
      <w:pPr>
        <w:pStyle w:val="Heading1"/>
        <w:spacing w:after="160" w:before="320"/>
      </w:pPr>
      <w:r>
        <w:rPr>
          <w:b/>
          <w:bCs/>
          <w:color w:val="1F6F5C"/>
        </w:rPr>
        <w:t xml:space="preserve">2. Objectif de l'intervention</w:t>
      </w:r>
    </w:p>
    <w:p>
      <w:pPr>
        <w:spacing w:after="160"/>
      </w:pPr>
      <w:r>
        <w:t xml:space="preserve">Renforcer les compétences numériques des jeunes étudiants et entrepreneurs de Farafangana, et leur faire découvrir des usages concrets et immédiatement applicables des outils numériques et de l'intelligence artificielle, avec pour objectifs spécifiques de :</w:t>
      </w:r>
    </w:p>
    <w:p>
      <w:pPr>
        <w:pStyle w:val="ListParagraph"/>
        <w:numPr>
          <w:ilvl w:val="0"/>
          <w:numId w:val="2"/>
        </w:numPr>
        <w:spacing w:after="100"/>
      </w:pPr>
      <w:r>
        <w:t xml:space="preserve">familiariser les participants avec les compétences numériques essentielles, utilisables dès aujourd'hui depuis leur téléphone ;</w:t>
      </w:r>
    </w:p>
    <w:p>
      <w:pPr>
        <w:pStyle w:val="ListParagraph"/>
        <w:numPr>
          <w:ilvl w:val="0"/>
          <w:numId w:val="2"/>
        </w:numPr>
        <w:spacing w:after="100"/>
      </w:pPr>
      <w:r>
        <w:t xml:space="preserve">présenter des outils numériques directement exploitables pour un projet entrepreneurial ou un parcours d'études ;</w:t>
      </w:r>
    </w:p>
    <w:p>
      <w:pPr>
        <w:pStyle w:val="ListParagraph"/>
        <w:numPr>
          <w:ilvl w:val="0"/>
          <w:numId w:val="2"/>
        </w:numPr>
        <w:spacing w:after="100"/>
      </w:pPr>
      <w:r>
        <w:t xml:space="preserve">initier les participants à des usages simples de l'intelligence artificielle, applicables au contexte de Farafangana ;</w:t>
      </w:r>
    </w:p>
    <w:p>
      <w:pPr>
        <w:pStyle w:val="ListParagraph"/>
        <w:numPr>
          <w:ilvl w:val="0"/>
          <w:numId w:val="2"/>
        </w:numPr>
        <w:spacing w:after="100"/>
      </w:pPr>
      <w:r>
        <w:t xml:space="preserve">donner à chacun une base réutilisable ensuite sur ordinateur, que ce soit à la maison, au travail ou dans un cybercafé.</w:t>
      </w:r>
    </w:p>
    <w:p>
      <w:pPr>
        <w:pStyle w:val="Heading1"/>
        <w:spacing w:after="160" w:before="320"/>
      </w:pPr>
      <w:r>
        <w:rPr>
          <w:b/>
          <w:bCs/>
          <w:color w:val="1F6F5C"/>
        </w:rPr>
        <w:t xml:space="preserve">3. Informations pratiques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800"/>
        <w:gridCol w:w="6550"/>
      </w:tblGrid>
      <w:tr>
        <w:tc>
          <w:tcPr>
            <w:tcW w:type="dxa" w:w="2800"/>
            <w:shd w:fill="F2F2F2" w:val="clear"/>
            <w:tcMar>
              <w:top w:type="dxa" w:w="80"/>
              <w:left w:type="dxa" w:w="100"/>
              <w:bottom w:type="dxa" w:w="80"/>
              <w:right w:type="dxa" w:w="100"/>
            </w:tcMar>
          </w:tcPr>
          <w:p>
            <w:pPr>
              <w:jc w:val="left"/>
            </w:pPr>
            <w:r>
              <w:rPr>
                <w:b/>
                <w:bCs/>
                <w:color w:val="222222"/>
              </w:rPr>
              <w:t xml:space="preserve">Date</w:t>
            </w:r>
          </w:p>
        </w:tc>
        <w:tc>
          <w:tcPr>
            <w:tcW w:type="dxa" w:w="6550"/>
            <w:tcMar>
              <w:top w:type="dxa" w:w="80"/>
              <w:left w:type="dxa" w:w="100"/>
              <w:bottom w:type="dxa" w:w="80"/>
              <w:right w:type="dxa" w:w="100"/>
            </w:tcMar>
          </w:tcPr>
          <w:p>
            <w:pPr>
              <w:jc w:val="left"/>
            </w:pPr>
            <w:r>
              <w:rPr>
                <w:b w:val="false"/>
                <w:bCs w:val="false"/>
                <w:color w:val="222222"/>
              </w:rPr>
              <w:t xml:space="preserve">2 août 2026, après-midi</w:t>
            </w:r>
          </w:p>
        </w:tc>
      </w:tr>
      <w:tr>
        <w:tc>
          <w:tcPr>
            <w:tcW w:type="dxa" w:w="2800"/>
            <w:shd w:fill="F2F2F2" w:val="clear"/>
            <w:tcMar>
              <w:top w:type="dxa" w:w="80"/>
              <w:left w:type="dxa" w:w="100"/>
              <w:bottom w:type="dxa" w:w="80"/>
              <w:right w:type="dxa" w:w="100"/>
            </w:tcMar>
          </w:tcPr>
          <w:p>
            <w:pPr>
              <w:jc w:val="left"/>
            </w:pPr>
            <w:r>
              <w:rPr>
                <w:b/>
                <w:bCs/>
                <w:color w:val="222222"/>
              </w:rPr>
              <w:t xml:space="preserve">Durée</w:t>
            </w:r>
          </w:p>
        </w:tc>
        <w:tc>
          <w:tcPr>
            <w:tcW w:type="dxa" w:w="6550"/>
            <w:tcMar>
              <w:top w:type="dxa" w:w="80"/>
              <w:left w:type="dxa" w:w="100"/>
              <w:bottom w:type="dxa" w:w="80"/>
              <w:right w:type="dxa" w:w="100"/>
            </w:tcMar>
          </w:tcPr>
          <w:p>
            <w:pPr>
              <w:jc w:val="left"/>
            </w:pPr>
            <w:r>
              <w:rPr>
                <w:b w:val="false"/>
                <w:bCs w:val="false"/>
                <w:color w:val="222222"/>
              </w:rPr>
              <w:t xml:space="preserve">2 heures</w:t>
            </w:r>
          </w:p>
        </w:tc>
      </w:tr>
      <w:tr>
        <w:tc>
          <w:tcPr>
            <w:tcW w:type="dxa" w:w="2800"/>
            <w:shd w:fill="F2F2F2" w:val="clear"/>
            <w:tcMar>
              <w:top w:type="dxa" w:w="80"/>
              <w:left w:type="dxa" w:w="100"/>
              <w:bottom w:type="dxa" w:w="80"/>
              <w:right w:type="dxa" w:w="100"/>
            </w:tcMar>
          </w:tcPr>
          <w:p>
            <w:pPr>
              <w:jc w:val="left"/>
            </w:pPr>
            <w:r>
              <w:rPr>
                <w:b/>
                <w:bCs/>
                <w:color w:val="222222"/>
              </w:rPr>
              <w:t xml:space="preserve">Public</w:t>
            </w:r>
          </w:p>
        </w:tc>
        <w:tc>
          <w:tcPr>
            <w:tcW w:type="dxa" w:w="6550"/>
            <w:tcMar>
              <w:top w:type="dxa" w:w="80"/>
              <w:left w:type="dxa" w:w="100"/>
              <w:bottom w:type="dxa" w:w="80"/>
              <w:right w:type="dxa" w:w="100"/>
            </w:tcMar>
          </w:tcPr>
          <w:p>
            <w:pPr>
              <w:jc w:val="left"/>
            </w:pPr>
            <w:r>
              <w:rPr>
                <w:b w:val="false"/>
                <w:bCs w:val="false"/>
                <w:color w:val="222222"/>
              </w:rPr>
              <w:t xml:space="preserve">Environ 50 participants, pour moitié étudiants et pour moitié jeunes entrepreneurs de la région Atsimo Atsinanana</w:t>
            </w:r>
          </w:p>
        </w:tc>
      </w:tr>
      <w:tr>
        <w:tc>
          <w:tcPr>
            <w:tcW w:type="dxa" w:w="2800"/>
            <w:shd w:fill="F2F2F2" w:val="clear"/>
            <w:tcMar>
              <w:top w:type="dxa" w:w="80"/>
              <w:left w:type="dxa" w:w="100"/>
              <w:bottom w:type="dxa" w:w="80"/>
              <w:right w:type="dxa" w:w="100"/>
            </w:tcMar>
          </w:tcPr>
          <w:p>
            <w:pPr>
              <w:jc w:val="left"/>
            </w:pPr>
            <w:r>
              <w:rPr>
                <w:b/>
                <w:bCs/>
                <w:color w:val="222222"/>
              </w:rPr>
              <w:t xml:space="preserve">Équipement</w:t>
            </w:r>
          </w:p>
        </w:tc>
        <w:tc>
          <w:tcPr>
            <w:tcW w:type="dxa" w:w="6550"/>
            <w:tcMar>
              <w:top w:type="dxa" w:w="80"/>
              <w:left w:type="dxa" w:w="100"/>
              <w:bottom w:type="dxa" w:w="80"/>
              <w:right w:type="dxa" w:w="100"/>
            </w:tcMar>
          </w:tcPr>
          <w:p>
            <w:pPr>
              <w:jc w:val="left"/>
            </w:pPr>
            <w:r>
              <w:rPr>
                <w:b w:val="false"/>
                <w:bCs w:val="false"/>
                <w:color w:val="222222"/>
              </w:rPr>
              <w:t xml:space="preserve">Smartphone personnel uniquement pendant l'atelier (pas d'ordinateur sur place)</w:t>
            </w:r>
          </w:p>
        </w:tc>
      </w:tr>
      <w:tr>
        <w:tc>
          <w:tcPr>
            <w:tcW w:type="dxa" w:w="2800"/>
            <w:shd w:fill="F2F2F2" w:val="clear"/>
            <w:tcMar>
              <w:top w:type="dxa" w:w="80"/>
              <w:left w:type="dxa" w:w="100"/>
              <w:bottom w:type="dxa" w:w="80"/>
              <w:right w:type="dxa" w:w="100"/>
            </w:tcMar>
          </w:tcPr>
          <w:p>
            <w:pPr>
              <w:jc w:val="left"/>
            </w:pPr>
            <w:r>
              <w:rPr>
                <w:b/>
                <w:bCs/>
                <w:color w:val="222222"/>
              </w:rPr>
              <w:t xml:space="preserve">Support</w:t>
            </w:r>
          </w:p>
        </w:tc>
        <w:tc>
          <w:tcPr>
            <w:tcW w:type="dxa" w:w="6550"/>
            <w:tcMar>
              <w:top w:type="dxa" w:w="80"/>
              <w:left w:type="dxa" w:w="100"/>
              <w:bottom w:type="dxa" w:w="80"/>
              <w:right w:type="dxa" w:w="100"/>
            </w:tcMar>
          </w:tcPr>
          <w:p>
            <w:pPr>
              <w:jc w:val="left"/>
            </w:pPr>
            <w:r>
              <w:rPr>
                <w:b w:val="false"/>
                <w:bCs w:val="false"/>
                <w:color w:val="222222"/>
              </w:rPr>
              <w:t xml:space="preserve">Contenu mis en ligne avant l'atelier, consultable et réutilisable après la session</w:t>
            </w:r>
          </w:p>
        </w:tc>
      </w:tr>
      <w:tr>
        <w:tc>
          <w:tcPr>
            <w:tcW w:type="dxa" w:w="2800"/>
            <w:shd w:fill="F2F2F2" w:val="clear"/>
            <w:tcMar>
              <w:top w:type="dxa" w:w="80"/>
              <w:left w:type="dxa" w:w="100"/>
              <w:bottom w:type="dxa" w:w="80"/>
              <w:right w:type="dxa" w:w="100"/>
            </w:tcMar>
          </w:tcPr>
          <w:p>
            <w:pPr>
              <w:jc w:val="left"/>
            </w:pPr>
            <w:r>
              <w:rPr>
                <w:b/>
                <w:bCs/>
                <w:color w:val="222222"/>
              </w:rPr>
              <w:t xml:space="preserve">Animateur</w:t>
            </w:r>
          </w:p>
        </w:tc>
        <w:tc>
          <w:tcPr>
            <w:tcW w:type="dxa" w:w="6550"/>
            <w:tcMar>
              <w:top w:type="dxa" w:w="80"/>
              <w:left w:type="dxa" w:w="100"/>
              <w:bottom w:type="dxa" w:w="80"/>
              <w:right w:type="dxa" w:w="100"/>
            </w:tcMar>
          </w:tcPr>
          <w:p>
            <w:pPr>
              <w:jc w:val="left"/>
            </w:pPr>
            <w:r>
              <w:rPr>
                <w:b w:val="false"/>
                <w:bCs w:val="false"/>
                <w:color w:val="222222"/>
              </w:rPr>
              <w:t xml:space="preserve">M. Samy MANANJARY, Chargé de Développement Web et Infographie — Projet PIC</w:t>
            </w:r>
          </w:p>
        </w:tc>
      </w:tr>
    </w:tbl>
    <w:p>
      <w:pPr>
        <w:spacing w:after="200"/>
      </w:pPr>
    </w:p>
    <w:p>
      <w:pPr>
        <w:pStyle w:val="Heading1"/>
        <w:spacing w:after="160" w:before="320"/>
      </w:pPr>
      <w:r>
        <w:rPr>
          <w:b/>
          <w:bCs/>
          <w:color w:val="1F6F5C"/>
        </w:rPr>
        <w:t xml:space="preserve">4. Contenu de l'atelier</w:t>
      </w:r>
    </w:p>
    <w:p>
      <w:pPr>
        <w:spacing w:after="160"/>
      </w:pPr>
      <w:r>
        <w:t xml:space="preserve">Le public étant mixte — pour moitié étudiants, pour moitié entrepreneurs — chaque bloc propose une double lecture des usages, et tous les exemples sont choisis pour rester applicables au contexte de Farafangana et de Madagascar (filières riz, litchi, vanille, pêche, tourisme du canal des Pangalanes, artisanat). L'atelier se déroule entièrement sur smartphone ; les acquis restent ensuite mobilisables sur ordinateur, à la maison, au travail ou dans un cybercafé.</w:t>
      </w:r>
    </w:p>
    <w:p>
      <w:pPr>
        <w:pStyle w:val="Heading2"/>
        <w:spacing w:after="120" w:before="220"/>
      </w:pPr>
      <w:r>
        <w:rPr>
          <w:b/>
          <w:bCs/>
          <w:color w:val="222222"/>
        </w:rPr>
        <w:t xml:space="preserve">4.1. Introduction (10 min)</w:t>
      </w:r>
    </w:p>
    <w:p>
      <w:pPr>
        <w:pStyle w:val="ListParagraph"/>
        <w:numPr>
          <w:ilvl w:val="0"/>
          <w:numId w:val="2"/>
        </w:numPr>
        <w:spacing w:after="100"/>
      </w:pPr>
      <w:r>
        <w:t xml:space="preserve">Pourquoi le numérique compte pour un étudiant (recherche d'emploi, stage, freelance) comme pour un entrepreneur (visibilité, vente, gestion).</w:t>
      </w:r>
    </w:p>
    <w:p>
      <w:pPr>
        <w:pStyle w:val="ListParagraph"/>
        <w:numPr>
          <w:ilvl w:val="0"/>
          <w:numId w:val="2"/>
        </w:numPr>
        <w:spacing w:after="100"/>
      </w:pPr>
      <w:r>
        <w:t xml:space="preserve">Tour de table rapide pour identifier le profil de chacun (étudiant / entrepreneur) et ajuster les exemples en direct.</w:t>
      </w:r>
    </w:p>
    <w:p>
      <w:pPr>
        <w:pStyle w:val="ListParagraph"/>
        <w:numPr>
          <w:ilvl w:val="0"/>
          <w:numId w:val="2"/>
        </w:numPr>
        <w:spacing w:after="100"/>
      </w:pPr>
      <w:r>
        <w:t xml:space="preserve">Rappel : l'atelier se fait sur téléphone, mais tout est réutilisable ensuite sur ordinateur.</w:t>
      </w:r>
    </w:p>
    <w:p>
      <w:pPr>
        <w:pStyle w:val="Heading2"/>
        <w:spacing w:after="120" w:before="220"/>
      </w:pPr>
      <w:r>
        <w:rPr>
          <w:b/>
          <w:bCs/>
          <w:color w:val="222222"/>
        </w:rPr>
        <w:t xml:space="preserve">4.2. Bloc 1 — Compétences numériques essentielles (30 min)</w:t>
      </w:r>
    </w:p>
    <w:p>
      <w:pPr>
        <w:pStyle w:val="ListParagraph"/>
        <w:numPr>
          <w:ilvl w:val="0"/>
          <w:numId w:val="2"/>
        </w:numPr>
        <w:spacing w:after="100"/>
      </w:pPr>
      <w:r>
        <w:t xml:space="preserve">Rechercher une information fiable sur Google : sourcer un exposé ou une bourse d'étude (étudiant) ; connaître le prix du litchi au marché ou la météo pour la pêche (entrepreneur).</w:t>
      </w:r>
    </w:p>
    <w:p>
      <w:pPr>
        <w:pStyle w:val="ListParagraph"/>
        <w:numPr>
          <w:ilvl w:val="0"/>
          <w:numId w:val="2"/>
        </w:numPr>
        <w:spacing w:after="100"/>
      </w:pPr>
      <w:r>
        <w:t xml:space="preserve">Reconnaître une arnaque : faux numéros MVola / Orange Money / Airtel Money, phishing Facebook, fausses offres d'emploi ou de bourses en ligne.</w:t>
      </w:r>
    </w:p>
    <w:p>
      <w:pPr>
        <w:pStyle w:val="ListParagraph"/>
        <w:numPr>
          <w:ilvl w:val="0"/>
          <w:numId w:val="2"/>
        </w:numPr>
        <w:spacing w:after="100"/>
      </w:pPr>
      <w:r>
        <w:t xml:space="preserve">Construire une identité numérique simple et professionnelle : profil LinkedIn ou CV en ligne (étudiant) ; bio claire sur WhatsApp et Facebook (entrepreneur).</w:t>
      </w:r>
    </w:p>
    <w:p>
      <w:pPr>
        <w:pStyle w:val="ListParagraph"/>
        <w:numPr>
          <w:ilvl w:val="0"/>
          <w:numId w:val="2"/>
        </w:numPr>
        <w:spacing w:after="100"/>
      </w:pPr>
      <w:r>
        <w:t xml:space="preserve">Prendre une photo exploitable avec son téléphone : photo de dossier ou de CV (étudiant) ; photo produit — litchi, chambre d'hôte, artisanat (entrepreneur).</w:t>
      </w:r>
    </w:p>
    <w:p>
      <w:pPr>
        <w:pStyle w:val="Heading2"/>
        <w:spacing w:after="120" w:before="220"/>
      </w:pPr>
      <w:r>
        <w:rPr>
          <w:b/>
          <w:bCs/>
          <w:color w:val="222222"/>
        </w:rPr>
        <w:t xml:space="preserve">4.3. Bloc 2 — Outils numériques utiles (40 min)</w:t>
      </w:r>
    </w:p>
    <w:p>
      <w:pPr>
        <w:pStyle w:val="ListParagraph"/>
        <w:numPr>
          <w:ilvl w:val="0"/>
          <w:numId w:val="2"/>
        </w:numPr>
        <w:spacing w:after="100"/>
      </w:pPr>
      <w:r>
        <w:t xml:space="preserve">WhatsApp Business (catalogue, réponses automatiques) : vitrine produit pour l'entrepreneur, communication professionnelle avec employeurs ou formateurs pour l'étudiant.</w:t>
      </w:r>
    </w:p>
    <w:p>
      <w:pPr>
        <w:pStyle w:val="ListParagraph"/>
        <w:numPr>
          <w:ilvl w:val="0"/>
          <w:numId w:val="2"/>
        </w:numPr>
        <w:spacing w:after="100"/>
      </w:pPr>
      <w:r>
        <w:t xml:space="preserve">Facebook Page / Marketplace et Google Business Profile : visibilité locale pour vendre ou se faire connaître, y compris pour un étudiant proposant des services (cours particuliers, petits travaux).</w:t>
      </w:r>
    </w:p>
    <w:p>
      <w:pPr>
        <w:pStyle w:val="ListParagraph"/>
        <w:numPr>
          <w:ilvl w:val="0"/>
          <w:numId w:val="2"/>
        </w:numPr>
        <w:spacing w:after="100"/>
      </w:pPr>
      <w:r>
        <w:t xml:space="preserve">Canva (application mobile) : flyer produit ou CV visuel, selon le profil.</w:t>
      </w:r>
    </w:p>
    <w:p>
      <w:pPr>
        <w:pStyle w:val="ListParagraph"/>
        <w:numPr>
          <w:ilvl w:val="0"/>
          <w:numId w:val="2"/>
        </w:numPr>
        <w:spacing w:after="100"/>
      </w:pPr>
      <w:r>
        <w:t xml:space="preserve">Mobile money (MVola, Orange Money, Airtel Money) : encaisser à distance (entrepreneur) ou gérer un petit budget et recevoir un paiement freelance (étudiant).</w:t>
      </w:r>
    </w:p>
    <w:p>
      <w:pPr>
        <w:pStyle w:val="ListParagraph"/>
        <w:numPr>
          <w:ilvl w:val="0"/>
          <w:numId w:val="2"/>
        </w:numPr>
        <w:spacing w:after="100"/>
      </w:pPr>
      <w:r>
        <w:t xml:space="preserve">Démonstration en direct sur le téléphone d'un participant de chaque profil, si possible.</w:t>
      </w:r>
    </w:p>
    <w:p>
      <w:pPr>
        <w:pStyle w:val="Heading2"/>
        <w:spacing w:after="120" w:before="220"/>
      </w:pPr>
      <w:r>
        <w:rPr>
          <w:b/>
          <w:bCs/>
          <w:color w:val="222222"/>
        </w:rPr>
        <w:t xml:space="preserve">4.4. Bloc 3 — L'intelligence artificielle au service de tous (30 min)</w:t>
      </w:r>
    </w:p>
    <w:p>
      <w:pPr>
        <w:pStyle w:val="ListParagraph"/>
        <w:numPr>
          <w:ilvl w:val="0"/>
          <w:numId w:val="2"/>
        </w:numPr>
        <w:spacing w:after="100"/>
      </w:pPr>
      <w:r>
        <w:t xml:space="preserve">Présentation d'applications d'IA gratuites et accessibles par téléphone (ChatGPT, Meta AI, Gemini).</w:t>
      </w:r>
    </w:p>
    <w:p>
      <w:pPr>
        <w:pStyle w:val="ListParagraph"/>
        <w:numPr>
          <w:ilvl w:val="0"/>
          <w:numId w:val="2"/>
        </w:numPr>
        <w:spacing w:after="100"/>
      </w:pPr>
      <w:r>
        <w:t xml:space="preserve">Usages entrepreneur : rédiger une description produit, traduire une offre du malgache vers le français ou l'anglais pour les touristes, générer un slogan.</w:t>
      </w:r>
    </w:p>
    <w:p>
      <w:pPr>
        <w:pStyle w:val="ListParagraph"/>
        <w:numPr>
          <w:ilvl w:val="0"/>
          <w:numId w:val="2"/>
        </w:numPr>
        <w:spacing w:after="100"/>
      </w:pPr>
      <w:r>
        <w:t xml:space="preserve">Usages étudiant : aide à la rédaction (lettre de motivation, résumé de cours, plan de dissertation), préparation d'un entretien.</w:t>
      </w:r>
    </w:p>
    <w:p>
      <w:pPr>
        <w:pStyle w:val="ListParagraph"/>
        <w:numPr>
          <w:ilvl w:val="0"/>
          <w:numId w:val="2"/>
        </w:numPr>
        <w:spacing w:after="100"/>
      </w:pPr>
      <w:r>
        <w:t xml:space="preserve">Exercice pratique commun : chaque participant fait rédiger par l'IA une phrase de présentation — de son activité ou de son profil.</w:t>
      </w:r>
    </w:p>
    <w:p>
      <w:pPr>
        <w:pStyle w:val="Heading2"/>
        <w:spacing w:after="120" w:before="220"/>
      </w:pPr>
      <w:r>
        <w:rPr>
          <w:b/>
          <w:bCs/>
          <w:color w:val="222222"/>
        </w:rPr>
        <w:t xml:space="preserve">4.5. Clôture (10 min)</w:t>
      </w:r>
    </w:p>
    <w:p>
      <w:pPr>
        <w:pStyle w:val="ListParagraph"/>
        <w:numPr>
          <w:ilvl w:val="0"/>
          <w:numId w:val="2"/>
        </w:numPr>
        <w:spacing w:after="100"/>
      </w:pPr>
      <w:r>
        <w:t xml:space="preserve">Questions-réponses.</w:t>
      </w:r>
    </w:p>
    <w:p>
      <w:pPr>
        <w:pStyle w:val="ListParagraph"/>
        <w:numPr>
          <w:ilvl w:val="0"/>
          <w:numId w:val="2"/>
        </w:numPr>
        <w:spacing w:after="100"/>
      </w:pPr>
      <w:r>
        <w:t xml:space="preserve">Rappel que le contenu reste disponible en ligne, pour être repris ensuite sur ordinateur ou en cybercafé.</w:t>
      </w:r>
    </w:p>
    <w:p>
      <w:pPr>
        <w:pStyle w:val="ListParagraph"/>
        <w:numPr>
          <w:ilvl w:val="0"/>
          <w:numId w:val="2"/>
        </w:numPr>
        <w:spacing w:after="100"/>
      </w:pPr>
      <w:r>
        <w:t xml:space="preserve">Invitation à une action concrète dans la semaine : publier un produit en ligne, ou tester l'IA pour rédiger un CV.</w:t>
      </w:r>
    </w:p>
    <w:p>
      <w:pPr>
        <w:pStyle w:val="Heading1"/>
        <w:spacing w:after="160" w:before="320"/>
      </w:pPr>
      <w:r>
        <w:rPr>
          <w:b/>
          <w:bCs/>
          <w:color w:val="1F6F5C"/>
        </w:rPr>
        <w:t xml:space="preserve">5. Déroulement prévu</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5650"/>
        <w:gridCol w:w="1500"/>
      </w:tblGrid>
      <w:tr>
        <w:tc>
          <w:tcPr>
            <w:tcW w:type="dxa" w:w="2200"/>
            <w:shd w:fill="1F6F5C" w:val="clear"/>
            <w:tcMar>
              <w:top w:type="dxa" w:w="80"/>
              <w:left w:type="dxa" w:w="100"/>
              <w:bottom w:type="dxa" w:w="80"/>
              <w:right w:type="dxa" w:w="100"/>
            </w:tcMar>
          </w:tcPr>
          <w:p>
            <w:pPr>
              <w:jc w:val="left"/>
            </w:pPr>
            <w:r>
              <w:rPr>
                <w:b/>
                <w:bCs/>
                <w:color w:val="FFFFFF"/>
              </w:rPr>
              <w:t xml:space="preserve">Séquence</w:t>
            </w:r>
          </w:p>
        </w:tc>
        <w:tc>
          <w:tcPr>
            <w:tcW w:type="dxa" w:w="5650"/>
            <w:shd w:fill="1F6F5C" w:val="clear"/>
            <w:tcMar>
              <w:top w:type="dxa" w:w="80"/>
              <w:left w:type="dxa" w:w="100"/>
              <w:bottom w:type="dxa" w:w="80"/>
              <w:right w:type="dxa" w:w="100"/>
            </w:tcMar>
          </w:tcPr>
          <w:p>
            <w:pPr>
              <w:jc w:val="left"/>
            </w:pPr>
            <w:r>
              <w:rPr>
                <w:b/>
                <w:bCs/>
                <w:color w:val="FFFFFF"/>
              </w:rPr>
              <w:t xml:space="preserve">Contenu</w:t>
            </w:r>
          </w:p>
        </w:tc>
        <w:tc>
          <w:tcPr>
            <w:tcW w:type="dxa" w:w="1500"/>
            <w:shd w:fill="1F6F5C" w:val="clear"/>
            <w:tcMar>
              <w:top w:type="dxa" w:w="80"/>
              <w:left w:type="dxa" w:w="100"/>
              <w:bottom w:type="dxa" w:w="80"/>
              <w:right w:type="dxa" w:w="100"/>
            </w:tcMar>
          </w:tcPr>
          <w:p>
            <w:pPr>
              <w:jc w:val="center"/>
            </w:pPr>
            <w:r>
              <w:rPr>
                <w:b/>
                <w:bCs/>
                <w:color w:val="FFFFFF"/>
              </w:rPr>
              <w:t xml:space="preserve">Durée</w:t>
            </w:r>
          </w:p>
        </w:tc>
      </w:tr>
      <w:tr>
        <w:tc>
          <w:tcPr>
            <w:tcW w:type="dxa" w:w="2200"/>
            <w:tcMar>
              <w:top w:type="dxa" w:w="80"/>
              <w:left w:type="dxa" w:w="100"/>
              <w:bottom w:type="dxa" w:w="80"/>
              <w:right w:type="dxa" w:w="100"/>
            </w:tcMar>
          </w:tcPr>
          <w:p>
            <w:pPr>
              <w:jc w:val="left"/>
            </w:pPr>
            <w:r>
              <w:rPr>
                <w:b w:val="false"/>
                <w:bCs w:val="false"/>
                <w:color w:val="222222"/>
              </w:rPr>
              <w:t xml:space="preserve">Introduction</w:t>
            </w:r>
          </w:p>
        </w:tc>
        <w:tc>
          <w:tcPr>
            <w:tcW w:type="dxa" w:w="5650"/>
            <w:tcMar>
              <w:top w:type="dxa" w:w="80"/>
              <w:left w:type="dxa" w:w="100"/>
              <w:bottom w:type="dxa" w:w="80"/>
              <w:right w:type="dxa" w:w="100"/>
            </w:tcMar>
          </w:tcPr>
          <w:p>
            <w:pPr>
              <w:jc w:val="left"/>
            </w:pPr>
            <w:r>
              <w:rPr>
                <w:b w:val="false"/>
                <w:bCs w:val="false"/>
                <w:color w:val="222222"/>
              </w:rPr>
              <w:t xml:space="preserve">Présentation, tour de table, cadrage</w:t>
            </w:r>
          </w:p>
        </w:tc>
        <w:tc>
          <w:tcPr>
            <w:tcW w:type="dxa" w:w="1500"/>
            <w:tcMar>
              <w:top w:type="dxa" w:w="80"/>
              <w:left w:type="dxa" w:w="100"/>
              <w:bottom w:type="dxa" w:w="80"/>
              <w:right w:type="dxa" w:w="100"/>
            </w:tcMar>
          </w:tcPr>
          <w:p>
            <w:pPr>
              <w:jc w:val="center"/>
            </w:pPr>
            <w:r>
              <w:rPr>
                <w:b w:val="false"/>
                <w:bCs w:val="false"/>
                <w:color w:val="222222"/>
              </w:rPr>
              <w:t xml:space="preserve">10 min</w:t>
            </w:r>
          </w:p>
        </w:tc>
      </w:tr>
      <w:tr>
        <w:tc>
          <w:tcPr>
            <w:tcW w:type="dxa" w:w="2200"/>
            <w:shd w:fill="F2F2F2" w:val="clear"/>
            <w:tcMar>
              <w:top w:type="dxa" w:w="80"/>
              <w:left w:type="dxa" w:w="100"/>
              <w:bottom w:type="dxa" w:w="80"/>
              <w:right w:type="dxa" w:w="100"/>
            </w:tcMar>
          </w:tcPr>
          <w:p>
            <w:pPr>
              <w:jc w:val="left"/>
            </w:pPr>
            <w:r>
              <w:rPr>
                <w:b w:val="false"/>
                <w:bCs w:val="false"/>
                <w:color w:val="222222"/>
              </w:rPr>
              <w:t xml:space="preserve">Bloc 1</w:t>
            </w:r>
          </w:p>
        </w:tc>
        <w:tc>
          <w:tcPr>
            <w:tcW w:type="dxa" w:w="5650"/>
            <w:shd w:fill="F2F2F2" w:val="clear"/>
            <w:tcMar>
              <w:top w:type="dxa" w:w="80"/>
              <w:left w:type="dxa" w:w="100"/>
              <w:bottom w:type="dxa" w:w="80"/>
              <w:right w:type="dxa" w:w="100"/>
            </w:tcMar>
          </w:tcPr>
          <w:p>
            <w:pPr>
              <w:jc w:val="left"/>
            </w:pPr>
            <w:r>
              <w:rPr>
                <w:b w:val="false"/>
                <w:bCs w:val="false"/>
                <w:color w:val="222222"/>
              </w:rPr>
              <w:t xml:space="preserve">Compétences numériques essentielles</w:t>
            </w:r>
          </w:p>
        </w:tc>
        <w:tc>
          <w:tcPr>
            <w:tcW w:type="dxa" w:w="1500"/>
            <w:shd w:fill="F2F2F2" w:val="clear"/>
            <w:tcMar>
              <w:top w:type="dxa" w:w="80"/>
              <w:left w:type="dxa" w:w="100"/>
              <w:bottom w:type="dxa" w:w="80"/>
              <w:right w:type="dxa" w:w="100"/>
            </w:tcMar>
          </w:tcPr>
          <w:p>
            <w:pPr>
              <w:jc w:val="center"/>
            </w:pPr>
            <w:r>
              <w:rPr>
                <w:b w:val="false"/>
                <w:bCs w:val="false"/>
                <w:color w:val="222222"/>
              </w:rPr>
              <w:t xml:space="preserve">30 min</w:t>
            </w:r>
          </w:p>
        </w:tc>
      </w:tr>
      <w:tr>
        <w:tc>
          <w:tcPr>
            <w:tcW w:type="dxa" w:w="2200"/>
            <w:tcMar>
              <w:top w:type="dxa" w:w="80"/>
              <w:left w:type="dxa" w:w="100"/>
              <w:bottom w:type="dxa" w:w="80"/>
              <w:right w:type="dxa" w:w="100"/>
            </w:tcMar>
          </w:tcPr>
          <w:p>
            <w:pPr>
              <w:jc w:val="left"/>
            </w:pPr>
            <w:r>
              <w:rPr>
                <w:b w:val="false"/>
                <w:bCs w:val="false"/>
                <w:color w:val="222222"/>
              </w:rPr>
              <w:t xml:space="preserve">Bloc 2</w:t>
            </w:r>
          </w:p>
        </w:tc>
        <w:tc>
          <w:tcPr>
            <w:tcW w:type="dxa" w:w="5650"/>
            <w:tcMar>
              <w:top w:type="dxa" w:w="80"/>
              <w:left w:type="dxa" w:w="100"/>
              <w:bottom w:type="dxa" w:w="80"/>
              <w:right w:type="dxa" w:w="100"/>
            </w:tcMar>
          </w:tcPr>
          <w:p>
            <w:pPr>
              <w:jc w:val="left"/>
            </w:pPr>
            <w:r>
              <w:rPr>
                <w:b w:val="false"/>
                <w:bCs w:val="false"/>
                <w:color w:val="222222"/>
              </w:rPr>
              <w:t xml:space="preserve">Outils numériques utiles aux étudiants et entrepreneurs</w:t>
            </w:r>
          </w:p>
        </w:tc>
        <w:tc>
          <w:tcPr>
            <w:tcW w:type="dxa" w:w="1500"/>
            <w:tcMar>
              <w:top w:type="dxa" w:w="80"/>
              <w:left w:type="dxa" w:w="100"/>
              <w:bottom w:type="dxa" w:w="80"/>
              <w:right w:type="dxa" w:w="100"/>
            </w:tcMar>
          </w:tcPr>
          <w:p>
            <w:pPr>
              <w:jc w:val="center"/>
            </w:pPr>
            <w:r>
              <w:rPr>
                <w:b w:val="false"/>
                <w:bCs w:val="false"/>
                <w:color w:val="222222"/>
              </w:rPr>
              <w:t xml:space="preserve">40 min</w:t>
            </w:r>
          </w:p>
        </w:tc>
      </w:tr>
      <w:tr>
        <w:tc>
          <w:tcPr>
            <w:tcW w:type="dxa" w:w="2200"/>
            <w:shd w:fill="F2F2F2" w:val="clear"/>
            <w:tcMar>
              <w:top w:type="dxa" w:w="80"/>
              <w:left w:type="dxa" w:w="100"/>
              <w:bottom w:type="dxa" w:w="80"/>
              <w:right w:type="dxa" w:w="100"/>
            </w:tcMar>
          </w:tcPr>
          <w:p>
            <w:pPr>
              <w:jc w:val="left"/>
            </w:pPr>
            <w:r>
              <w:rPr>
                <w:b w:val="false"/>
                <w:bCs w:val="false"/>
                <w:color w:val="222222"/>
              </w:rPr>
              <w:t xml:space="preserve">Bloc 3</w:t>
            </w:r>
          </w:p>
        </w:tc>
        <w:tc>
          <w:tcPr>
            <w:tcW w:type="dxa" w:w="5650"/>
            <w:shd w:fill="F2F2F2" w:val="clear"/>
            <w:tcMar>
              <w:top w:type="dxa" w:w="80"/>
              <w:left w:type="dxa" w:w="100"/>
              <w:bottom w:type="dxa" w:w="80"/>
              <w:right w:type="dxa" w:w="100"/>
            </w:tcMar>
          </w:tcPr>
          <w:p>
            <w:pPr>
              <w:jc w:val="left"/>
            </w:pPr>
            <w:r>
              <w:rPr>
                <w:b w:val="false"/>
                <w:bCs w:val="false"/>
                <w:color w:val="222222"/>
              </w:rPr>
              <w:t xml:space="preserve">Applications de l'intelligence artificielle</w:t>
            </w:r>
          </w:p>
        </w:tc>
        <w:tc>
          <w:tcPr>
            <w:tcW w:type="dxa" w:w="1500"/>
            <w:shd w:fill="F2F2F2" w:val="clear"/>
            <w:tcMar>
              <w:top w:type="dxa" w:w="80"/>
              <w:left w:type="dxa" w:w="100"/>
              <w:bottom w:type="dxa" w:w="80"/>
              <w:right w:type="dxa" w:w="100"/>
            </w:tcMar>
          </w:tcPr>
          <w:p>
            <w:pPr>
              <w:jc w:val="center"/>
            </w:pPr>
            <w:r>
              <w:rPr>
                <w:b w:val="false"/>
                <w:bCs w:val="false"/>
                <w:color w:val="222222"/>
              </w:rPr>
              <w:t xml:space="preserve">30 min</w:t>
            </w:r>
          </w:p>
        </w:tc>
      </w:tr>
      <w:tr>
        <w:tc>
          <w:tcPr>
            <w:tcW w:type="dxa" w:w="2200"/>
            <w:tcMar>
              <w:top w:type="dxa" w:w="80"/>
              <w:left w:type="dxa" w:w="100"/>
              <w:bottom w:type="dxa" w:w="80"/>
              <w:right w:type="dxa" w:w="100"/>
            </w:tcMar>
          </w:tcPr>
          <w:p>
            <w:pPr>
              <w:jc w:val="left"/>
            </w:pPr>
            <w:r>
              <w:rPr>
                <w:b w:val="false"/>
                <w:bCs w:val="false"/>
                <w:color w:val="222222"/>
              </w:rPr>
              <w:t xml:space="preserve">Clôture</w:t>
            </w:r>
          </w:p>
        </w:tc>
        <w:tc>
          <w:tcPr>
            <w:tcW w:type="dxa" w:w="5650"/>
            <w:tcMar>
              <w:top w:type="dxa" w:w="80"/>
              <w:left w:type="dxa" w:w="100"/>
              <w:bottom w:type="dxa" w:w="80"/>
              <w:right w:type="dxa" w:w="100"/>
            </w:tcMar>
          </w:tcPr>
          <w:p>
            <w:pPr>
              <w:jc w:val="left"/>
            </w:pPr>
            <w:r>
              <w:rPr>
                <w:b w:val="false"/>
                <w:bCs w:val="false"/>
                <w:color w:val="222222"/>
              </w:rPr>
              <w:t xml:space="preserve">Questions, synthèse, mise en pratique</w:t>
            </w:r>
          </w:p>
        </w:tc>
        <w:tc>
          <w:tcPr>
            <w:tcW w:type="dxa" w:w="1500"/>
            <w:tcMar>
              <w:top w:type="dxa" w:w="80"/>
              <w:left w:type="dxa" w:w="100"/>
              <w:bottom w:type="dxa" w:w="80"/>
              <w:right w:type="dxa" w:w="100"/>
            </w:tcMar>
          </w:tcPr>
          <w:p>
            <w:pPr>
              <w:jc w:val="center"/>
            </w:pPr>
            <w:r>
              <w:rPr>
                <w:b w:val="false"/>
                <w:bCs w:val="false"/>
                <w:color w:val="222222"/>
              </w:rPr>
              <w:t xml:space="preserve">10 min</w:t>
            </w:r>
          </w:p>
        </w:tc>
      </w:tr>
    </w:tbl>
    <w:p>
      <w:pPr>
        <w:spacing w:after="200"/>
      </w:pPr>
    </w:p>
    <w:p>
      <w:pPr>
        <w:pStyle w:val="Heading1"/>
        <w:spacing w:after="160" w:before="320"/>
      </w:pPr>
      <w:r>
        <w:rPr>
          <w:b/>
          <w:bCs/>
          <w:color w:val="1F6F5C"/>
        </w:rPr>
        <w:t xml:space="preserve">6. Résultats attendus</w:t>
      </w:r>
    </w:p>
    <w:p>
      <w:pPr>
        <w:pStyle w:val="ListParagraph"/>
        <w:numPr>
          <w:ilvl w:val="0"/>
          <w:numId w:val="2"/>
        </w:numPr>
        <w:spacing w:after="100"/>
      </w:pPr>
      <w:r>
        <w:t xml:space="preserve">Les participants — étudiants comme entrepreneurs — repartent avec des compétences numériques directement applicables depuis leur téléphone.</w:t>
      </w:r>
    </w:p>
    <w:p>
      <w:pPr>
        <w:pStyle w:val="ListParagraph"/>
        <w:numPr>
          <w:ilvl w:val="0"/>
          <w:numId w:val="2"/>
        </w:numPr>
        <w:spacing w:after="100"/>
      </w:pPr>
      <w:r>
        <w:t xml:space="preserve">Les participants connaissent des outils numériques et des usages de l'intelligence artificielle adaptés à leur profil et au contexte de Farafangana.</w:t>
      </w:r>
    </w:p>
    <w:p>
      <w:pPr>
        <w:pStyle w:val="ListParagraph"/>
        <w:numPr>
          <w:ilvl w:val="0"/>
          <w:numId w:val="2"/>
        </w:numPr>
        <w:spacing w:after="100"/>
      </w:pPr>
      <w:r>
        <w:t xml:space="preserve">Les participants savent comment poursuivre leur apprentissage après l'atelier, sur ordinateur, à la maison, au travail ou en cybercafé.</w:t>
      </w:r>
    </w:p>
    <w:p>
      <w:pPr>
        <w:pStyle w:val="ListParagraph"/>
        <w:numPr>
          <w:ilvl w:val="0"/>
          <w:numId w:val="2"/>
        </w:numPr>
        <w:spacing w:after="100"/>
      </w:pPr>
      <w:r>
        <w:t xml:space="preserve">La visibilité et les interventions du Projet PIC en matière d'entrepreneuriat et de numérique sont mieux connues du public cible.</w:t>
      </w:r>
    </w:p>
    <w:p>
      <w:pPr>
        <w:pStyle w:val="Heading1"/>
        <w:spacing w:after="160" w:before="320"/>
      </w:pPr>
      <w:r>
        <w:rPr>
          <w:b/>
          <w:bCs/>
          <w:color w:val="1F6F5C"/>
        </w:rPr>
        <w:t xml:space="preserve">7. Recommandations et perspectives</w:t>
      </w:r>
    </w:p>
    <w:p>
      <w:pPr>
        <w:pStyle w:val="ListParagraph"/>
        <w:numPr>
          <w:ilvl w:val="0"/>
          <w:numId w:val="2"/>
        </w:numPr>
        <w:spacing w:after="100"/>
      </w:pPr>
      <w:r>
        <w:t xml:space="preserve">Publier le support de l'atelier en ligne avant la session, dans un format léger et lisible sur téléphone.</w:t>
      </w:r>
    </w:p>
    <w:p>
      <w:pPr>
        <w:pStyle w:val="ListParagraph"/>
        <w:numPr>
          <w:ilvl w:val="0"/>
          <w:numId w:val="2"/>
        </w:numPr>
        <w:spacing w:after="100"/>
      </w:pPr>
      <w:r>
        <w:t xml:space="preserve">Créer un groupe WhatsApp de suivi pour prolonger les échanges après l'atelier et partager des ressources complémentaires.</w:t>
      </w:r>
    </w:p>
    <w:p>
      <w:pPr>
        <w:pStyle w:val="ListParagraph"/>
        <w:numPr>
          <w:ilvl w:val="0"/>
          <w:numId w:val="2"/>
        </w:numPr>
        <w:spacing w:after="100"/>
      </w:pPr>
      <w:r>
        <w:t xml:space="preserve">Orienter les participants intéressés vers les cybercafés locaux ou les espaces de travail disponibles à Farafangana pour approfondir la pratique sur ordinateur.</w:t>
      </w:r>
    </w:p>
    <w:p>
      <w:pPr>
        <w:pStyle w:val="ListParagraph"/>
        <w:numPr>
          <w:ilvl w:val="0"/>
          <w:numId w:val="2"/>
        </w:numPr>
        <w:spacing w:after="100"/>
      </w:pPr>
      <w:r>
        <w:t xml:space="preserve">Envisager une session de suivi ou un format renforcé pour les participants souhaitant aller plus loin, notamment sur les usages de l'IA pour l'entrepreneuriat.</w:t>
      </w:r>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2026-08-01T02:05:15.336Z</dcterms:created>
  <dcterms:modified xsi:type="dcterms:W3CDTF">2026-08-01T02:05:15.337Z</dcterms:modified>
</cp:coreProperties>
</file>

<file path=docProps/custom.xml><?xml version="1.0" encoding="utf-8"?>
<Properties xmlns="http://schemas.openxmlformats.org/officeDocument/2006/custom-properties" xmlns:vt="http://schemas.openxmlformats.org/officeDocument/2006/docPropsVTypes"/>
</file>